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1D2F6" w14:textId="77777777" w:rsidR="00B53A63" w:rsidRDefault="00B53A63" w:rsidP="00B53A63">
      <w:pPr>
        <w:ind w:left="23" w:right="583"/>
      </w:pPr>
    </w:p>
    <w:p w14:paraId="1CBA7FF4" w14:textId="17A9FDFF" w:rsidR="00B53A63" w:rsidRDefault="00B53A63" w:rsidP="00B53A63">
      <w:pPr>
        <w:ind w:left="23" w:right="583"/>
      </w:pPr>
      <w:r>
        <w:t xml:space="preserve">It is a requirement that all groups working with children in the Church body and/or using facilities owned by the Church body are insured, and that they have a child safeguarding policy in place. </w:t>
      </w:r>
    </w:p>
    <w:p w14:paraId="39CB72F5" w14:textId="77777777" w:rsidR="00B53A63" w:rsidRDefault="00B53A63" w:rsidP="00B53A63">
      <w:pPr>
        <w:ind w:left="23" w:right="758"/>
      </w:pPr>
      <w:r>
        <w:t>The general principle is that the obligation to comply with requirements relating to insurance and child safeguarding rests with the group using Church property, and not with the Church body.</w:t>
      </w:r>
    </w:p>
    <w:p w14:paraId="4D05E723" w14:textId="4B5331F1" w:rsidR="00B53A63" w:rsidRDefault="00B53A63" w:rsidP="00B53A63">
      <w:pPr>
        <w:numPr>
          <w:ilvl w:val="0"/>
          <w:numId w:val="1"/>
        </w:numPr>
        <w:ind w:right="827" w:hanging="397"/>
      </w:pPr>
      <w:r>
        <w:t>It is the responsibility of any group using Church property to run activities involving children to ensure that they comply with all applicable child safeguarding and protection legislation and guidelines.</w:t>
      </w:r>
    </w:p>
    <w:p w14:paraId="76810426" w14:textId="103A6FEE" w:rsidR="00B53A63" w:rsidRDefault="00B53A63" w:rsidP="00B53A63">
      <w:pPr>
        <w:numPr>
          <w:ilvl w:val="0"/>
          <w:numId w:val="1"/>
        </w:numPr>
        <w:ind w:right="827" w:hanging="397"/>
      </w:pPr>
      <w:r>
        <w:t>The group should have their own child safeguarding policy and procedures. The group is also responsible for liaising with Tusla/ (as appropriate), to ensure that the policy and procedures meet the statutory requirements.</w:t>
      </w:r>
    </w:p>
    <w:p w14:paraId="4E892F39" w14:textId="77777777" w:rsidR="00B53A63" w:rsidRDefault="00B53A63" w:rsidP="00B53A63">
      <w:pPr>
        <w:numPr>
          <w:ilvl w:val="0"/>
          <w:numId w:val="1"/>
        </w:numPr>
        <w:ind w:right="827" w:hanging="397"/>
      </w:pPr>
      <w:r>
        <w:t>The group should have appropriate insurance for the activity they are running.</w:t>
      </w:r>
    </w:p>
    <w:p w14:paraId="7FE57C7D" w14:textId="77777777" w:rsidR="00B53A63" w:rsidRDefault="00B53A63" w:rsidP="00B53A63">
      <w:pPr>
        <w:numPr>
          <w:ilvl w:val="0"/>
          <w:numId w:val="1"/>
        </w:numPr>
        <w:ind w:right="827" w:hanging="397"/>
      </w:pPr>
      <w:r>
        <w:t>The Church body should at no stage assist any outside group in developing a child safeguarding policy.</w:t>
      </w:r>
    </w:p>
    <w:p w14:paraId="21E5BEFF" w14:textId="64EE1B08" w:rsidR="00B53A63" w:rsidRDefault="00B53A63" w:rsidP="00B53A63">
      <w:pPr>
        <w:numPr>
          <w:ilvl w:val="0"/>
          <w:numId w:val="1"/>
        </w:numPr>
        <w:ind w:right="827" w:hanging="397"/>
      </w:pPr>
      <w:r>
        <w:t xml:space="preserve">The Church body should have confirmation in writing from the group that they have a child safeguarding policy in place. It is not the role of the Church body to validate the adequacy of the policy; that is the responsibility of Tusla. </w:t>
      </w:r>
    </w:p>
    <w:p w14:paraId="05DD1295" w14:textId="77777777" w:rsidR="00B53A63" w:rsidRDefault="00B53A63" w:rsidP="00B53A63">
      <w:pPr>
        <w:numPr>
          <w:ilvl w:val="0"/>
          <w:numId w:val="1"/>
        </w:numPr>
        <w:ind w:right="827" w:hanging="397"/>
      </w:pPr>
      <w:r>
        <w:t xml:space="preserve">If the group does not have a child safeguarding </w:t>
      </w:r>
      <w:proofErr w:type="gramStart"/>
      <w:r>
        <w:t>policy</w:t>
      </w:r>
      <w:proofErr w:type="gramEnd"/>
      <w:r>
        <w:t xml:space="preserve"> then it is up to the Church authority to decide whether to let the group use the property.  If the Church authority thinks it is appropriate they should issue a letter to the leader of the visiting group stating that while on their property full responsibility and liability for ensuring the safety of the children rests with the leader.</w:t>
      </w:r>
    </w:p>
    <w:p w14:paraId="0D1E9EB8" w14:textId="77777777" w:rsidR="00B53A63" w:rsidRDefault="00B53A63" w:rsidP="00B53A63">
      <w:pPr>
        <w:numPr>
          <w:ilvl w:val="0"/>
          <w:numId w:val="1"/>
        </w:numPr>
        <w:ind w:right="827" w:hanging="397"/>
      </w:pPr>
      <w:r>
        <w:t>The Church body should have confirmation in writing from the group that they have appropriate insurance in place, which includes the following:</w:t>
      </w:r>
    </w:p>
    <w:p w14:paraId="6ABBC259" w14:textId="77777777" w:rsidR="00B53A63" w:rsidRDefault="00B53A63" w:rsidP="00B53A63">
      <w:pPr>
        <w:numPr>
          <w:ilvl w:val="1"/>
          <w:numId w:val="1"/>
        </w:numPr>
        <w:ind w:right="0" w:hanging="227"/>
      </w:pPr>
      <w:r>
        <w:t xml:space="preserve">The name of their </w:t>
      </w:r>
      <w:proofErr w:type="gramStart"/>
      <w:r>
        <w:t>insurers;</w:t>
      </w:r>
      <w:proofErr w:type="gramEnd"/>
    </w:p>
    <w:p w14:paraId="401BB170" w14:textId="77777777" w:rsidR="00B53A63" w:rsidRDefault="00B53A63" w:rsidP="00B53A63">
      <w:pPr>
        <w:numPr>
          <w:ilvl w:val="1"/>
          <w:numId w:val="1"/>
        </w:numPr>
        <w:ind w:right="0" w:hanging="227"/>
      </w:pPr>
      <w:r>
        <w:t xml:space="preserve">The policy </w:t>
      </w:r>
      <w:proofErr w:type="gramStart"/>
      <w:r>
        <w:t>number;</w:t>
      </w:r>
      <w:proofErr w:type="gramEnd"/>
    </w:p>
    <w:p w14:paraId="0172FF1E" w14:textId="77777777" w:rsidR="00B53A63" w:rsidRDefault="00B53A63" w:rsidP="00B53A63">
      <w:pPr>
        <w:numPr>
          <w:ilvl w:val="1"/>
          <w:numId w:val="1"/>
        </w:numPr>
        <w:ind w:right="0" w:hanging="227"/>
      </w:pPr>
      <w:r>
        <w:t xml:space="preserve">The </w:t>
      </w:r>
      <w:proofErr w:type="gramStart"/>
      <w:r>
        <w:t>period of cover</w:t>
      </w:r>
      <w:proofErr w:type="gramEnd"/>
      <w:r>
        <w:t xml:space="preserve"> of the </w:t>
      </w:r>
      <w:proofErr w:type="gramStart"/>
      <w:r>
        <w:t>policy;</w:t>
      </w:r>
      <w:proofErr w:type="gramEnd"/>
    </w:p>
    <w:p w14:paraId="22A44E9D" w14:textId="33B1C4D1" w:rsidR="00B53A63" w:rsidRDefault="00B53A63" w:rsidP="00B53A63">
      <w:r>
        <w:t>The limit of indemnity</w:t>
      </w:r>
    </w:p>
    <w:sectPr w:rsidR="00B53A6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AD440" w14:textId="77777777" w:rsidR="003A36A4" w:rsidRDefault="003A36A4" w:rsidP="00B53A63">
      <w:pPr>
        <w:spacing w:after="0" w:line="240" w:lineRule="auto"/>
      </w:pPr>
      <w:r>
        <w:separator/>
      </w:r>
    </w:p>
  </w:endnote>
  <w:endnote w:type="continuationSeparator" w:id="0">
    <w:p w14:paraId="312714B1" w14:textId="77777777" w:rsidR="003A36A4" w:rsidRDefault="003A36A4" w:rsidP="00B5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063BE" w14:textId="77777777" w:rsidR="003A36A4" w:rsidRDefault="003A36A4" w:rsidP="00B53A63">
      <w:pPr>
        <w:spacing w:after="0" w:line="240" w:lineRule="auto"/>
      </w:pPr>
      <w:r>
        <w:separator/>
      </w:r>
    </w:p>
  </w:footnote>
  <w:footnote w:type="continuationSeparator" w:id="0">
    <w:p w14:paraId="62FE7E74" w14:textId="77777777" w:rsidR="003A36A4" w:rsidRDefault="003A36A4" w:rsidP="00B53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7BEF9" w14:textId="695EA2C2" w:rsidR="00B53A63" w:rsidRDefault="00B53A63" w:rsidP="00B53A63">
    <w:pPr>
      <w:pStyle w:val="Heading3"/>
      <w:ind w:left="853" w:right="1937"/>
      <w:jc w:val="center"/>
    </w:pPr>
    <w:r>
      <w:rPr>
        <w:noProof/>
      </w:rPr>
      <w:drawing>
        <wp:inline distT="0" distB="0" distL="0" distR="0" wp14:anchorId="3CB873AF" wp14:editId="0B3AC9DC">
          <wp:extent cx="1409946" cy="400596"/>
          <wp:effectExtent l="0" t="0" r="0" b="6350"/>
          <wp:docPr id="1914291976" name="Picture 1" descr="A logo with a can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291976" name="Picture 1" descr="A logo with a cand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757" cy="44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516682" w14:textId="0867F837" w:rsidR="00B53A63" w:rsidRPr="00B53A63" w:rsidRDefault="00B53A63" w:rsidP="00B53A63">
    <w:pPr>
      <w:pStyle w:val="Heading3"/>
      <w:ind w:right="1937"/>
      <w:jc w:val="center"/>
    </w:pPr>
    <w:r>
      <w:t xml:space="preserve">             Guidance on External Groups who Use Church Property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B1951"/>
    <w:multiLevelType w:val="hybridMultilevel"/>
    <w:tmpl w:val="C47E9728"/>
    <w:lvl w:ilvl="0" w:tplc="7D6AADE6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132FA16">
      <w:start w:val="1"/>
      <w:numFmt w:val="bullet"/>
      <w:lvlText w:val="-"/>
      <w:lvlJc w:val="left"/>
      <w:pPr>
        <w:ind w:left="90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B9EB384">
      <w:start w:val="1"/>
      <w:numFmt w:val="bullet"/>
      <w:lvlText w:val="▪"/>
      <w:lvlJc w:val="left"/>
      <w:pPr>
        <w:ind w:left="1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CA21A6A">
      <w:start w:val="1"/>
      <w:numFmt w:val="bullet"/>
      <w:lvlText w:val="•"/>
      <w:lvlJc w:val="left"/>
      <w:pPr>
        <w:ind w:left="24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B40ECCE">
      <w:start w:val="1"/>
      <w:numFmt w:val="bullet"/>
      <w:lvlText w:val="o"/>
      <w:lvlJc w:val="left"/>
      <w:pPr>
        <w:ind w:left="32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16177C">
      <w:start w:val="1"/>
      <w:numFmt w:val="bullet"/>
      <w:lvlText w:val="▪"/>
      <w:lvlJc w:val="left"/>
      <w:pPr>
        <w:ind w:left="39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53A2AEE">
      <w:start w:val="1"/>
      <w:numFmt w:val="bullet"/>
      <w:lvlText w:val="•"/>
      <w:lvlJc w:val="left"/>
      <w:pPr>
        <w:ind w:left="46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904523C">
      <w:start w:val="1"/>
      <w:numFmt w:val="bullet"/>
      <w:lvlText w:val="o"/>
      <w:lvlJc w:val="left"/>
      <w:pPr>
        <w:ind w:left="5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C4A6864">
      <w:start w:val="1"/>
      <w:numFmt w:val="bullet"/>
      <w:lvlText w:val="▪"/>
      <w:lvlJc w:val="left"/>
      <w:pPr>
        <w:ind w:left="6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126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63"/>
    <w:rsid w:val="00013449"/>
    <w:rsid w:val="00130D9A"/>
    <w:rsid w:val="003A36A4"/>
    <w:rsid w:val="00676100"/>
    <w:rsid w:val="006C1814"/>
    <w:rsid w:val="00B5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EA122"/>
  <w15:chartTrackingRefBased/>
  <w15:docId w15:val="{60159ADF-7EE4-D04D-B4F8-30BC4F7C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A63"/>
    <w:pPr>
      <w:spacing w:after="182" w:line="271" w:lineRule="auto"/>
      <w:ind w:left="10" w:right="189" w:hanging="10"/>
    </w:pPr>
    <w:rPr>
      <w:rFonts w:ascii="Arial" w:eastAsia="Arial" w:hAnsi="Arial" w:cs="Arial"/>
      <w:color w:val="181717"/>
      <w:sz w:val="21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3A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A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53A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A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A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A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A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A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A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A63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A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A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A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A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A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3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A63"/>
    <w:rPr>
      <w:rFonts w:ascii="Arial" w:eastAsia="Arial" w:hAnsi="Arial" w:cs="Arial"/>
      <w:color w:val="181717"/>
      <w:sz w:val="21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B53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A63"/>
    <w:rPr>
      <w:rFonts w:ascii="Arial" w:eastAsia="Arial" w:hAnsi="Arial" w:cs="Arial"/>
      <w:color w:val="181717"/>
      <w:sz w:val="21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 Guarding</dc:creator>
  <cp:keywords/>
  <dc:description/>
  <cp:lastModifiedBy>Office</cp:lastModifiedBy>
  <cp:revision>2</cp:revision>
  <dcterms:created xsi:type="dcterms:W3CDTF">2024-10-25T10:36:00Z</dcterms:created>
  <dcterms:modified xsi:type="dcterms:W3CDTF">2024-10-25T10:36:00Z</dcterms:modified>
</cp:coreProperties>
</file>